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drawing>
          <wp:inline xmlns:a="http://schemas.openxmlformats.org/drawingml/2006/main" xmlns:pic="http://schemas.openxmlformats.org/drawingml/2006/picture">
            <wp:extent cx="6126480" cy="7926984"/>
            <wp:docPr id="1" name="Picture 1"/>
            <wp:cNvGraphicFramePr>
              <a:graphicFrameLocks noChangeAspect="1"/>
            </wp:cNvGraphicFramePr>
            <a:graphic>
              <a:graphicData uri="http://schemas.openxmlformats.org/drawingml/2006/picture">
                <pic:pic>
                  <pic:nvPicPr>
                    <pic:cNvPr id="0" name="cover_boardroom_dark.jpg"/>
                    <pic:cNvPicPr/>
                  </pic:nvPicPr>
                  <pic:blipFill>
                    <a:blip r:embed="rId9"/>
                    <a:stretch>
                      <a:fillRect/>
                    </a:stretch>
                  </pic:blipFill>
                  <pic:spPr>
                    <a:xfrm>
                      <a:off x="0" y="0"/>
                      <a:ext cx="6126480" cy="7926984"/>
                    </a:xfrm>
                    <a:prstGeom prst="rect"/>
                  </pic:spPr>
                </pic:pic>
              </a:graphicData>
            </a:graphic>
          </wp:inline>
        </w:drawing>
      </w:r>
    </w:p>
    <w:p>
      <w:pPr>
        <w:spacing w:after="0" w:before="120"/>
        <w:jc w:val="center"/>
      </w:pPr>
      <w:r>
        <w:rPr>
          <w:rFonts w:ascii="Lato" w:hAnsi="Lato" w:eastAsia="Lato"/>
          <w:b/>
          <w:i w:val="0"/>
          <w:color w:val="B9872F"/>
          <w:sz w:val="22"/>
        </w:rPr>
        <w:t>QUEBEC.AI</w:t>
      </w:r>
    </w:p>
    <w:p>
      <w:pPr>
        <w:spacing w:after="0" w:before="0"/>
        <w:jc w:val="center"/>
      </w:pPr>
      <w:r>
        <w:rPr>
          <w:rFonts w:ascii="Noto Serif Display" w:hAnsi="Noto Serif Display" w:eastAsia="Noto Serif Display"/>
          <w:b/>
          <w:i w:val="0"/>
          <w:color w:val="061A36"/>
          <w:sz w:val="64"/>
        </w:rPr>
        <w:t>Sovereign Manifesto</w:t>
      </w:r>
    </w:p>
    <w:p>
      <w:pPr>
        <w:spacing w:after="100" w:before="0"/>
        <w:jc w:val="center"/>
      </w:pPr>
      <w:r>
        <w:rPr>
          <w:rFonts w:ascii="Noto Serif Display" w:hAnsi="Noto Serif Display" w:eastAsia="Noto Serif Display"/>
          <w:b/>
          <w:i w:val="0"/>
          <w:color w:val="B9872F"/>
          <w:sz w:val="40"/>
        </w:rPr>
        <w:t>Manifeste souverain</w:t>
      </w:r>
    </w:p>
    <w:p>
      <w:pPr>
        <w:spacing w:after="120" w:before="0"/>
        <w:jc w:val="center"/>
      </w:pPr>
      <w:r>
        <w:rPr>
          <w:rFonts w:ascii="EB Garamond" w:hAnsi="EB Garamond" w:eastAsia="EB Garamond"/>
          <w:b w:val="0"/>
          <w:i/>
          <w:color w:val="061A36"/>
          <w:sz w:val="28"/>
        </w:rPr>
        <w:t>Frontier. AI-First. Sovereign. / Frontière. IA-First. Souverain.</w:t>
      </w:r>
    </w:p>
    <w:p>
      <w:pPr>
        <w:spacing w:after="160" w:before="0"/>
        <w:jc w:val="center"/>
      </w:pPr>
      <w:r>
        <w:rPr>
          <w:rFonts w:ascii="EB Garamond" w:hAnsi="EB Garamond" w:eastAsia="EB Garamond"/>
          <w:b w:val="0"/>
          <w:i/>
          <w:color w:val="0A1E38"/>
          <w:sz w:val="26"/>
        </w:rPr>
        <w:t>A Québec that does not rent its future, but builds it. / Un Québec qui ne loue pas son avenir, mais qui le construit.</w:t>
      </w:r>
    </w:p>
    <w:p>
      <w:pPr>
        <w:spacing w:after="0" w:before="0"/>
        <w:jc w:val="center"/>
      </w:pPr>
      <w:r>
        <w:rPr>
          <w:rFonts w:ascii="Lato" w:hAnsi="Lato" w:eastAsia="Lato"/>
          <w:b w:val="0"/>
          <w:i w:val="0"/>
          <w:color w:val="484843"/>
          <w:sz w:val="18"/>
        </w:rPr>
        <w:t>Québec’s sovereign AI flagship enterprise / L’entreprise phare de l’IA souveraine du Québec</w:t>
      </w:r>
    </w:p>
    <w:p>
      <w:r>
        <w:br w:type="page"/>
      </w:r>
    </w:p>
    <w:p>
      <w:pPr>
        <w:spacing w:after="160" w:before="0"/>
        <w:jc w:val="center"/>
      </w:pPr>
      <w:r>
        <w:rPr>
          <w:rFonts w:ascii="Noto Serif Display" w:hAnsi="Noto Serif Display" w:eastAsia="Noto Serif Display"/>
          <w:b/>
          <w:i w:val="0"/>
          <w:color w:val="061A36"/>
          <w:sz w:val="48"/>
        </w:rPr>
        <w:t>Complete Executive Edition / Édition exécutive complète</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This document presents the QUEBEC.AI Sovereign Manifesto in a fully bilingual executive edition. It is designed for readers who expect ambition, discipline, institutional seriousness, and proof.</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Ce document présente le Manifeste souverain de QUEBEC.AI dans une édition exécutive entièrement bilingue. Il est conçu pour des lecteurs qui attendent ambition, discipline, sérieux institutionnel et preuve.</w:t>
            </w:r>
          </w:p>
        </w:tc>
      </w:tr>
    </w:tbl>
    <w:p>
      <w:pPr>
        <w:spacing w:after="80"/>
      </w:pPr>
    </w:p>
    <w:tbl>
      <w:tblPr>
        <w:tblW w:type="auto" w:w="0"/>
        <w:jc w:val="center"/>
        <w:tblLook w:firstColumn="1" w:firstRow="1" w:lastColumn="0" w:lastRow="0" w:noHBand="0" w:noVBand="1" w:val="04A0"/>
      </w:tblPr>
      <w:tblGrid>
        <w:gridCol w:w="10454"/>
      </w:tblGrid>
      <w:tr>
        <w:tc>
          <w:tcPr>
            <w:tcW w:type="dxa" w:w="10454"/>
            <w:shd w:fill="061A36"/>
            <w:tcBorders>
              <w:top w:val="single" w:sz="8" w:space="0" w:color="B9872F"/>
              <w:left w:val="single" w:sz="8" w:space="0" w:color="B9872F"/>
              <w:bottom w:val="single" w:sz="8" w:space="0" w:color="B9872F"/>
              <w:right w:val="single" w:sz="8" w:space="0" w:color="B9872F"/>
            </w:tcBorders>
          </w:tcPr>
          <w:p>
            <w:pPr>
              <w:jc w:val="center"/>
            </w:pPr>
            <w:r>
              <w:rPr>
                <w:rFonts w:ascii="EB Garamond" w:hAnsi="EB Garamond" w:eastAsia="EB Garamond"/>
                <w:b/>
                <w:i w:val="0"/>
                <w:color w:val="F0D48A"/>
                <w:sz w:val="30"/>
              </w:rPr>
              <w:t>The Manifesto makes people listen. The Proof Room makes people believe.</w:t>
              <w:br/>
              <w:t>Le Manifeste capte l’attention. La Proof Room fonde la confiance.</w:t>
            </w:r>
          </w:p>
        </w:tc>
      </w:tr>
    </w:tbl>
    <w:p>
      <w:pPr>
        <w:spacing w:after="160"/>
      </w:pPr>
    </w:p>
    <w:p>
      <w:pPr>
        <w:spacing w:after="80" w:before="0"/>
      </w:pPr>
      <w:r>
        <w:rPr>
          <w:rFonts w:ascii="Noto Serif Display" w:hAnsi="Noto Serif Display" w:eastAsia="Noto Serif Display"/>
          <w:b/>
          <w:i w:val="0"/>
          <w:color w:val="061A36"/>
          <w:sz w:val="36"/>
        </w:rPr>
        <w:t>Table of Contents / Table des matières</w:t>
      </w:r>
    </w:p>
    <w:tbl>
      <w:tblPr>
        <w:tblW w:type="auto" w:w="0"/>
        <w:tblLook w:firstColumn="1" w:firstRow="1" w:lastColumn="0" w:lastRow="0" w:noHBand="0" w:noVBand="1" w:val="04A0"/>
      </w:tblPr>
      <w:tblGrid>
        <w:gridCol w:w="5227"/>
        <w:gridCol w:w="5227"/>
      </w:tblGrid>
      <w:tr>
        <w:tc>
          <w:tcPr>
            <w:tcW w:type="dxa" w:w="5227"/>
          </w:tcPr>
          <w:p>
            <w:r>
              <w:rPr>
                <w:rFonts w:ascii="Lato" w:hAnsi="Lato" w:eastAsia="Lato"/>
                <w:b/>
                <w:i w:val="0"/>
                <w:color w:val="061A36"/>
                <w:sz w:val="19"/>
              </w:rPr>
              <w:t>1. Institutional Declaration</w:t>
            </w:r>
          </w:p>
        </w:tc>
        <w:tc>
          <w:tcPr>
            <w:tcW w:type="dxa" w:w="5227"/>
          </w:tcPr>
          <w:p>
            <w:r>
              <w:rPr>
                <w:rFonts w:ascii="Lato" w:hAnsi="Lato" w:eastAsia="Lato"/>
                <w:b w:val="0"/>
                <w:i w:val="0"/>
                <w:color w:val="0A1E38"/>
                <w:sz w:val="19"/>
              </w:rPr>
              <w:t>Déclaration institutionnelle</w:t>
            </w:r>
          </w:p>
        </w:tc>
      </w:tr>
      <w:tr>
        <w:tc>
          <w:tcPr>
            <w:tcW w:type="dxa" w:w="5227"/>
          </w:tcPr>
          <w:p>
            <w:r>
              <w:rPr>
                <w:rFonts w:ascii="Lato" w:hAnsi="Lato" w:eastAsia="Lato"/>
                <w:b/>
                <w:i w:val="0"/>
                <w:color w:val="061A36"/>
                <w:sz w:val="19"/>
              </w:rPr>
              <w:t>2. Sovereignty as Capability</w:t>
            </w:r>
          </w:p>
        </w:tc>
        <w:tc>
          <w:tcPr>
            <w:tcW w:type="dxa" w:w="5227"/>
          </w:tcPr>
          <w:p>
            <w:r>
              <w:rPr>
                <w:rFonts w:ascii="Lato" w:hAnsi="Lato" w:eastAsia="Lato"/>
                <w:b w:val="0"/>
                <w:i w:val="0"/>
                <w:color w:val="0A1E38"/>
                <w:sz w:val="19"/>
              </w:rPr>
              <w:t>La souveraineté comme capacité</w:t>
            </w:r>
          </w:p>
        </w:tc>
      </w:tr>
      <w:tr>
        <w:tc>
          <w:tcPr>
            <w:tcW w:type="dxa" w:w="5227"/>
          </w:tcPr>
          <w:p>
            <w:r>
              <w:rPr>
                <w:rFonts w:ascii="Lato" w:hAnsi="Lato" w:eastAsia="Lato"/>
                <w:b/>
                <w:i w:val="0"/>
                <w:color w:val="061A36"/>
                <w:sz w:val="19"/>
              </w:rPr>
              <w:t>3. The AI-First Enterprise</w:t>
            </w:r>
          </w:p>
        </w:tc>
        <w:tc>
          <w:tcPr>
            <w:tcW w:type="dxa" w:w="5227"/>
          </w:tcPr>
          <w:p>
            <w:r>
              <w:rPr>
                <w:rFonts w:ascii="Lato" w:hAnsi="Lato" w:eastAsia="Lato"/>
                <w:b w:val="0"/>
                <w:i w:val="0"/>
                <w:color w:val="0A1E38"/>
                <w:sz w:val="19"/>
              </w:rPr>
              <w:t>L’entreprise IA-First</w:t>
            </w:r>
          </w:p>
        </w:tc>
      </w:tr>
      <w:tr>
        <w:tc>
          <w:tcPr>
            <w:tcW w:type="dxa" w:w="5227"/>
          </w:tcPr>
          <w:p>
            <w:r>
              <w:rPr>
                <w:rFonts w:ascii="Lato" w:hAnsi="Lato" w:eastAsia="Lato"/>
                <w:b/>
                <w:i w:val="0"/>
                <w:color w:val="061A36"/>
                <w:sz w:val="19"/>
              </w:rPr>
              <w:t>4. Agents, Validators, Memory, Governance</w:t>
            </w:r>
          </w:p>
        </w:tc>
        <w:tc>
          <w:tcPr>
            <w:tcW w:type="dxa" w:w="5227"/>
          </w:tcPr>
          <w:p>
            <w:r>
              <w:rPr>
                <w:rFonts w:ascii="Lato" w:hAnsi="Lato" w:eastAsia="Lato"/>
                <w:b w:val="0"/>
                <w:i w:val="0"/>
                <w:color w:val="0A1E38"/>
                <w:sz w:val="19"/>
              </w:rPr>
              <w:t>Agents, validateurs, mémoire, gouvernance</w:t>
            </w:r>
          </w:p>
        </w:tc>
      </w:tr>
      <w:tr>
        <w:tc>
          <w:tcPr>
            <w:tcW w:type="dxa" w:w="5227"/>
          </w:tcPr>
          <w:p>
            <w:r>
              <w:rPr>
                <w:rFonts w:ascii="Lato" w:hAnsi="Lato" w:eastAsia="Lato"/>
                <w:b/>
                <w:i w:val="0"/>
                <w:color w:val="061A36"/>
                <w:sz w:val="19"/>
              </w:rPr>
              <w:t>5. The Evidence Standard</w:t>
            </w:r>
          </w:p>
        </w:tc>
        <w:tc>
          <w:tcPr>
            <w:tcW w:type="dxa" w:w="5227"/>
          </w:tcPr>
          <w:p>
            <w:r>
              <w:rPr>
                <w:rFonts w:ascii="Lato" w:hAnsi="Lato" w:eastAsia="Lato"/>
                <w:b w:val="0"/>
                <w:i w:val="0"/>
                <w:color w:val="0A1E38"/>
                <w:sz w:val="19"/>
              </w:rPr>
              <w:t>La norme de preuve</w:t>
            </w:r>
          </w:p>
        </w:tc>
      </w:tr>
      <w:tr>
        <w:tc>
          <w:tcPr>
            <w:tcW w:type="dxa" w:w="5227"/>
          </w:tcPr>
          <w:p>
            <w:r>
              <w:rPr>
                <w:rFonts w:ascii="Lato" w:hAnsi="Lato" w:eastAsia="Lato"/>
                <w:b/>
                <w:i w:val="0"/>
                <w:color w:val="061A36"/>
                <w:sz w:val="19"/>
              </w:rPr>
              <w:t>6. The Capacity Horizon</w:t>
            </w:r>
          </w:p>
        </w:tc>
        <w:tc>
          <w:tcPr>
            <w:tcW w:type="dxa" w:w="5227"/>
          </w:tcPr>
          <w:p>
            <w:r>
              <w:rPr>
                <w:rFonts w:ascii="Lato" w:hAnsi="Lato" w:eastAsia="Lato"/>
                <w:b w:val="0"/>
                <w:i w:val="0"/>
                <w:color w:val="0A1E38"/>
                <w:sz w:val="19"/>
              </w:rPr>
              <w:t>L’horizon de capacité</w:t>
            </w:r>
          </w:p>
        </w:tc>
      </w:tr>
      <w:tr>
        <w:tc>
          <w:tcPr>
            <w:tcW w:type="dxa" w:w="5227"/>
          </w:tcPr>
          <w:p>
            <w:r>
              <w:rPr>
                <w:rFonts w:ascii="Lato" w:hAnsi="Lato" w:eastAsia="Lato"/>
                <w:b/>
                <w:i w:val="0"/>
                <w:color w:val="061A36"/>
                <w:sz w:val="19"/>
              </w:rPr>
              <w:t>7. Language, Culture, Memory</w:t>
            </w:r>
          </w:p>
        </w:tc>
        <w:tc>
          <w:tcPr>
            <w:tcW w:type="dxa" w:w="5227"/>
          </w:tcPr>
          <w:p>
            <w:r>
              <w:rPr>
                <w:rFonts w:ascii="Lato" w:hAnsi="Lato" w:eastAsia="Lato"/>
                <w:b w:val="0"/>
                <w:i w:val="0"/>
                <w:color w:val="0A1E38"/>
                <w:sz w:val="19"/>
              </w:rPr>
              <w:t>Langue, culture, mémoire</w:t>
            </w:r>
          </w:p>
        </w:tc>
      </w:tr>
      <w:tr>
        <w:tc>
          <w:tcPr>
            <w:tcW w:type="dxa" w:w="5227"/>
          </w:tcPr>
          <w:p>
            <w:r>
              <w:rPr>
                <w:rFonts w:ascii="Lato" w:hAnsi="Lato" w:eastAsia="Lato"/>
                <w:b/>
                <w:i w:val="0"/>
                <w:color w:val="061A36"/>
                <w:sz w:val="19"/>
              </w:rPr>
              <w:t>8. Strategic Agenda</w:t>
            </w:r>
          </w:p>
        </w:tc>
        <w:tc>
          <w:tcPr>
            <w:tcW w:type="dxa" w:w="5227"/>
          </w:tcPr>
          <w:p>
            <w:r>
              <w:rPr>
                <w:rFonts w:ascii="Lato" w:hAnsi="Lato" w:eastAsia="Lato"/>
                <w:b w:val="0"/>
                <w:i w:val="0"/>
                <w:color w:val="0A1E38"/>
                <w:sz w:val="19"/>
              </w:rPr>
              <w:t>Agenda stratégique</w:t>
            </w:r>
          </w:p>
        </w:tc>
      </w:tr>
      <w:tr>
        <w:tc>
          <w:tcPr>
            <w:tcW w:type="dxa" w:w="5227"/>
          </w:tcPr>
          <w:p>
            <w:r>
              <w:rPr>
                <w:rFonts w:ascii="Lato" w:hAnsi="Lato" w:eastAsia="Lato"/>
                <w:b/>
                <w:i w:val="0"/>
                <w:color w:val="061A36"/>
                <w:sz w:val="19"/>
              </w:rPr>
              <w:t>9. Core Principles</w:t>
            </w:r>
          </w:p>
        </w:tc>
        <w:tc>
          <w:tcPr>
            <w:tcW w:type="dxa" w:w="5227"/>
          </w:tcPr>
          <w:p>
            <w:r>
              <w:rPr>
                <w:rFonts w:ascii="Lato" w:hAnsi="Lato" w:eastAsia="Lato"/>
                <w:b w:val="0"/>
                <w:i w:val="0"/>
                <w:color w:val="0A1E38"/>
                <w:sz w:val="19"/>
              </w:rPr>
              <w:t>Principes directeurs</w:t>
            </w:r>
          </w:p>
        </w:tc>
      </w:tr>
      <w:tr>
        <w:tc>
          <w:tcPr>
            <w:tcW w:type="dxa" w:w="5227"/>
          </w:tcPr>
          <w:p>
            <w:r>
              <w:rPr>
                <w:rFonts w:ascii="Lato" w:hAnsi="Lato" w:eastAsia="Lato"/>
                <w:b/>
                <w:i w:val="0"/>
                <w:color w:val="061A36"/>
                <w:sz w:val="19"/>
              </w:rPr>
              <w:t>10. Flagship Use Case</w:t>
            </w:r>
          </w:p>
        </w:tc>
        <w:tc>
          <w:tcPr>
            <w:tcW w:type="dxa" w:w="5227"/>
          </w:tcPr>
          <w:p>
            <w:r>
              <w:rPr>
                <w:rFonts w:ascii="Lato" w:hAnsi="Lato" w:eastAsia="Lato"/>
                <w:b w:val="0"/>
                <w:i w:val="0"/>
                <w:color w:val="0A1E38"/>
                <w:sz w:val="19"/>
              </w:rPr>
              <w:t>Cas d’usage phare</w:t>
            </w:r>
          </w:p>
        </w:tc>
      </w:tr>
      <w:tr>
        <w:tc>
          <w:tcPr>
            <w:tcW w:type="dxa" w:w="5227"/>
          </w:tcPr>
          <w:p>
            <w:r>
              <w:rPr>
                <w:rFonts w:ascii="Lato" w:hAnsi="Lato" w:eastAsia="Lato"/>
                <w:b/>
                <w:i w:val="0"/>
                <w:color w:val="061A36"/>
                <w:sz w:val="19"/>
              </w:rPr>
              <w:t>11. Public Commitment</w:t>
            </w:r>
          </w:p>
        </w:tc>
        <w:tc>
          <w:tcPr>
            <w:tcW w:type="dxa" w:w="5227"/>
          </w:tcPr>
          <w:p>
            <w:r>
              <w:rPr>
                <w:rFonts w:ascii="Lato" w:hAnsi="Lato" w:eastAsia="Lato"/>
                <w:b w:val="0"/>
                <w:i w:val="0"/>
                <w:color w:val="0A1E38"/>
                <w:sz w:val="19"/>
              </w:rPr>
              <w:t>Engagement public</w:t>
            </w:r>
          </w:p>
        </w:tc>
      </w:tr>
    </w:tbl>
    <w:p>
      <w:r>
        <w:br w:type="page"/>
      </w:r>
    </w:p>
    <w:p>
      <w:pPr>
        <w:spacing w:after="160" w:before="0"/>
        <w:jc w:val="center"/>
      </w:pPr>
      <w:r>
        <w:rPr>
          <w:rFonts w:ascii="Noto Serif Display" w:hAnsi="Noto Serif Display" w:eastAsia="Noto Serif Display"/>
          <w:b/>
          <w:i w:val="0"/>
          <w:color w:val="061A36"/>
          <w:sz w:val="44"/>
        </w:rPr>
        <w:t>1. Institutional Declaration / Déclaration institutionnelle</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The QUEBEC.AI Sovereign Manifesto is a declaration of ambition for a Québec that does not rent its future, but builds it.</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 Manifeste souverain de QUEBEC.AI est une déclaration d’ambition pour un Québec qui ne loue pas son avenir, mais qui le construit.</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Artificial intelligence is becoming a strategic infrastructure: a layer through which work, knowledge, security, memory, enterprise, and public legitimacy will be organized.</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L’intelligence artificielle devient une infrastructure stratégique : une couche à travers laquelle le travail, le savoir, la sécurité, la mémoire, l’entreprise et la légitimité publique seront organisés.</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The decisive question is no longer whether Québec will use AI. It is whether Québec will build, govern, validate, secure, and own meaningful AI capability.</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La question décisive n’est plus de savoir si le Québec utilisera l’IA. Elle est de savoir si le Québec bâtira, gouvernera, validera, sécurisera et détiendra une capacité réelle en IA.</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This Manifesto is not a slogan. It is a doctrine of execution.</w:t>
              <w:br/>
              <w:t>Ce manifeste n’est pas un slogan. C’est une doctrine d’exécution.</w:t>
            </w:r>
          </w:p>
        </w:tc>
      </w:tr>
    </w:tbl>
    <w:p>
      <w:r>
        <w:br w:type="page"/>
      </w:r>
    </w:p>
    <w:p>
      <w:pPr>
        <w:spacing w:after="160" w:before="0"/>
        <w:jc w:val="center"/>
      </w:pPr>
      <w:r>
        <w:rPr>
          <w:rFonts w:ascii="Noto Serif Display" w:hAnsi="Noto Serif Display" w:eastAsia="Noto Serif Display"/>
          <w:b/>
          <w:i w:val="0"/>
          <w:color w:val="061A36"/>
          <w:sz w:val="44"/>
        </w:rPr>
        <w:t>2. Sovereignty as Capability / La souveraineté comme capacité</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In the AI age, sovereignty is not only a question of territory. It is a question of capability: the capacity to compute, coordinate, decide, verify, preserve, and act at scale.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À l’ère de l’IA, la souveraineté n’est pas seulement une question de territoire. C’est une question de capacité : la capacité de calculer, coordonner, décider, vérifier, préserver et agir à grande échelle.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A sovereign AI future means that Québec can shape the systems that shape its economy, language, institutions, enterprises, and collective memory.</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Un avenir souverain en IA signifie que le Québec peut façonner les systèmes qui façonneront son économie, sa langue, ses institutions, ses entreprises et sa mémoire collective.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QUEBEC.AI stands for sovereignty that is operational, measurable, and useful - sovereignty translated into infrastructure, enterprise capability, governance, and proof.</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QUEBEC.AI porte une souveraineté opérationnelle, mesurable et utile - une souveraineté traduite en infrastructure, capacité d’entreprise, gouvernance et preuve.</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We do not seek symbolic sovereignty. We seek operating sovereignty.</w:t>
              <w:br/>
              <w:t>Nous ne cherchons pas une souveraineté symbolique. Nous cherchons une souveraineté d’exécution.</w:t>
            </w:r>
          </w:p>
        </w:tc>
      </w:tr>
    </w:tbl>
    <w:p>
      <w:r>
        <w:br w:type="page"/>
      </w:r>
    </w:p>
    <w:p>
      <w:pPr>
        <w:spacing w:after="160" w:before="0"/>
        <w:jc w:val="center"/>
      </w:pPr>
      <w:r>
        <w:rPr>
          <w:rFonts w:ascii="Noto Serif Display" w:hAnsi="Noto Serif Display" w:eastAsia="Noto Serif Display"/>
          <w:b/>
          <w:i w:val="0"/>
          <w:color w:val="061A36"/>
          <w:sz w:val="44"/>
        </w:rPr>
        <w:t>3. The AI-First Enterprise / L’entreprise IA-First</w:t>
      </w:r>
    </w:p>
    <w:p>
      <w:pPr>
        <w:jc w:val="center"/>
      </w:pPr>
      <w:r>
        <w:drawing>
          <wp:inline xmlns:a="http://schemas.openxmlformats.org/drawingml/2006/main" xmlns:pic="http://schemas.openxmlformats.org/drawingml/2006/picture">
            <wp:extent cx="5943600" cy="7690358"/>
            <wp:docPr id="2" name="Picture 2"/>
            <wp:cNvGraphicFramePr>
              <a:graphicFrameLocks noChangeAspect="1"/>
            </wp:cNvGraphicFramePr>
            <a:graphic>
              <a:graphicData uri="http://schemas.openxmlformats.org/drawingml/2006/picture">
                <pic:pic>
                  <pic:nvPicPr>
                    <pic:cNvPr id="0" name="cover_boardroom_dark.jpg"/>
                    <pic:cNvPicPr/>
                  </pic:nvPicPr>
                  <pic:blipFill>
                    <a:blip r:embed="rId9"/>
                    <a:stretch>
                      <a:fillRect/>
                    </a:stretch>
                  </pic:blipFill>
                  <pic:spPr>
                    <a:xfrm>
                      <a:off x="0" y="0"/>
                      <a:ext cx="5943600" cy="7690358"/>
                    </a:xfrm>
                    <a:prstGeom prst="rect"/>
                  </pic:spPr>
                </pic:pic>
              </a:graphicData>
            </a:graphic>
          </wp:inline>
        </w:drawing>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The next great enterprises will not simply use AI. They will become AI-First intelligence organizations.</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Les grandes entreprises de demain ne feront pas que simplement utiliser l’IA. Elles deviendront des organisations IA-First.</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An AI-First enterprise redesigns work from the intelligence layer outward: strategy, data, processes, tools, agents, validation, memory, security, and governance are coordinated as one system.</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Une entreprise IA-First reconfigure le travail à partir de la couche d’intelligence : stratégie, données, processus, outils, agents, validation, mémoire, sécurité et gouvernance sont coordonnés comme un seul système.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The purpose is not automation alone. The purpose is compounding capability: every validated cycle leaves behind assets that make the next cycle stronger.</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L’objectif n’est pas l’automatisation seule. L’objectif est la capacité cumulative : chaque cycle validé laisse derrière lui des actifs qui renforcent le cycle suivant.</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The output is useful once. The capability is useful again and again.</w:t>
              <w:br/>
              <w:t>Le résultat est utile une fois. La capacité est utile encore et encore.</w:t>
            </w:r>
          </w:p>
        </w:tc>
      </w:tr>
    </w:tbl>
    <w:p>
      <w:r>
        <w:br w:type="page"/>
      </w:r>
    </w:p>
    <w:p>
      <w:pPr>
        <w:spacing w:after="160" w:before="0"/>
        <w:jc w:val="center"/>
      </w:pPr>
      <w:r>
        <w:rPr>
          <w:rFonts w:ascii="Noto Serif Display" w:hAnsi="Noto Serif Display" w:eastAsia="Noto Serif Display"/>
          <w:b/>
          <w:i w:val="0"/>
          <w:color w:val="061A36"/>
          <w:sz w:val="44"/>
        </w:rPr>
        <w:t>4. Agents, Validators, Memory, Governance / Agents, validateurs, mémoire, gouvernance</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Agents discover. They search, analyze, synthesize, test, draft, simulate, and surface opportunities at machine speed.</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Les agents découvrent. Ils recherchent, analysent, synthétisent, testent, rédigent, simulent et font émerger des occasions à vitesse machine.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Validators prove. They check quality, evidence, risk, usefulness, compliance, and claim discipline before work is trusted.</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Les validateurs prouvent. Ils vérifient la qualité, la preuve, le risque, l’utilité, la conformité et la discipline des affirmations avant que le travail soit considéré comme fiable.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Memory preserves. The organization keeps what worked: prompts, methods, review criteria, templates, decision maps, and reusable patterns.</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La mémoire préserve. L’organisation conserve ce qui a fonctionné : prompts, méthodes, critères de révision, gabarits, cartes de décision et patrons réutilisables.</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Governance controls. Human stewardship, security, accountability, and institutional judgment remain central to scale.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La gouvernance contrôle. L’intendance humaine, la sécurité, l’imputabilité et le jugement institutionnel demeurent au centre du passage à l’échelle.</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Agents discover. Validators prove. Memory preserves. Governance controls. The enterprise compounds.</w:t>
              <w:br/>
              <w:t>Les agents découvrent. Les validateurs prouvent. La mémoire préserve. La gouvernance contrôle. L’entreprise se renforce.</w:t>
            </w:r>
          </w:p>
        </w:tc>
      </w:tr>
    </w:tbl>
    <w:p>
      <w:r>
        <w:br w:type="page"/>
      </w:r>
    </w:p>
    <w:p>
      <w:pPr>
        <w:spacing w:after="160" w:before="0"/>
        <w:jc w:val="center"/>
      </w:pPr>
      <w:r>
        <w:rPr>
          <w:rFonts w:ascii="Noto Serif Display" w:hAnsi="Noto Serif Display" w:eastAsia="Noto Serif Display"/>
          <w:b/>
          <w:i w:val="0"/>
          <w:color w:val="061A36"/>
          <w:sz w:val="44"/>
        </w:rPr>
        <w:t>5. The Evidence Standard / La norme de preuve</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A sovereign AI doctrine must be reviewable. It must show how work was performed, how it was checked, what became reusable, and what claims remain bounded.</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Une doctrine souveraine en IA doit être examinable. Elle doit montrer comment le travail a été accompli, comment il a été vérifié, ce qui est devenu réutilisable et quelles affirmations demeurent limitées.</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QUEBEC.AI pairs the Manifesto with a public Proof Room: a proof layer built around Evidence Dockets, ProofBundles, validation records, capability archives, and clear claim boundaries.</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QUEBEC.AI associe le Manifeste à une Proof Room publique : une couche de preuve fondée sur des dossiers de preuve, des ProofBundles, des registres de validation, des archives de capacité et des limites claires quant aux affirmations.</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Work must become evidence. Evidence must become trust. Trust must become reusable capability. Reusable capability must make the next cycle stronger.</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 travail doit devenir preuve. La preuve doit devenir confiance. La confiance doit devenir capacité réutilisable. La capacité réutilisable doit renforcer le cycle suivant.</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The Manifesto makes the doctrine public. The Proof Room makes the doctrine accountable.</w:t>
              <w:br/>
              <w:t>Le Manifeste rend la doctrine publique. La Proof Room rend la doctrine responsable.</w:t>
            </w:r>
          </w:p>
        </w:tc>
      </w:tr>
    </w:tbl>
    <w:p>
      <w:r>
        <w:br w:type="page"/>
      </w:r>
    </w:p>
    <w:p>
      <w:pPr>
        <w:spacing w:after="160" w:before="0"/>
        <w:jc w:val="center"/>
      </w:pPr>
      <w:r>
        <w:rPr>
          <w:rFonts w:ascii="Noto Serif Display" w:hAnsi="Noto Serif Display" w:eastAsia="Noto Serif Display"/>
          <w:b/>
          <w:i w:val="0"/>
          <w:color w:val="061A36"/>
          <w:sz w:val="44"/>
        </w:rPr>
        <w:t>6. The Capacity Horizon / L’horizon de capacité</w:t>
      </w:r>
    </w:p>
    <w:p>
      <w:pPr>
        <w:jc w:val="center"/>
      </w:pPr>
      <w:r>
        <w:drawing>
          <wp:inline xmlns:a="http://schemas.openxmlformats.org/drawingml/2006/main" xmlns:pic="http://schemas.openxmlformats.org/drawingml/2006/picture">
            <wp:extent cx="5943600" cy="9245600"/>
            <wp:docPr id="3" name="Picture 3"/>
            <wp:cNvGraphicFramePr>
              <a:graphicFrameLocks noChangeAspect="1"/>
            </wp:cNvGraphicFramePr>
            <a:graphic>
              <a:graphicData uri="http://schemas.openxmlformats.org/drawingml/2006/picture">
                <pic:pic>
                  <pic:nvPicPr>
                    <pic:cNvPr id="0" name="sovereign_ivory_art_crop.jpg"/>
                    <pic:cNvPicPr/>
                  </pic:nvPicPr>
                  <pic:blipFill>
                    <a:blip r:embed="rId10"/>
                    <a:stretch>
                      <a:fillRect/>
                    </a:stretch>
                  </pic:blipFill>
                  <pic:spPr>
                    <a:xfrm>
                      <a:off x="0" y="0"/>
                      <a:ext cx="5943600" cy="9245600"/>
                    </a:xfrm>
                    <a:prstGeom prst="rect"/>
                  </pic:spPr>
                </pic:pic>
              </a:graphicData>
            </a:graphic>
          </wp:inline>
        </w:drawing>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The highest-value intelligence systems will not merely answer questions. They will convert verified work into reusable capability, and reusable capability into productive capacity.</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Les systèmes d’intelligence les plus précieux ne se contenteront pas de répondre à des questions. Ils transformeront le travail vérifié en capacité réutilisable, puis cette capacité en puissance productive.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Productive capacity becomes infrastructure: compute, science, security, enterprise systems, useful energy capability, and stronger future work.</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La puissance productive devient infrastructure : calcul, science, sécurité, systèmes d’entreprise, capacité énergétique utile et travail futur plus fort.</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This is not an overnight claim. It is a strategic horizon and a proof architecture. Stronger claims require real tasks, baselines, replay records, safety and cost ledgers, delayed outcomes, and independent review.</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Il ne s’agit pas d’une affirmation immédiate. C’est un horizon stratégique et une architecture de preuve. Des affirmations plus fortes exigent des tâches réelles, des références, des traces rejouables, des registres de sécurité et de coûts, des résultats différés et une révision indépendante.</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The future belongs to institutions that can turn intelligence into capacity.</w:t>
              <w:br/>
              <w:t>L’avenir appartient aux institutions capables de transformer l’intelligence en capacité.</w:t>
            </w:r>
          </w:p>
        </w:tc>
      </w:tr>
    </w:tbl>
    <w:p>
      <w:r>
        <w:br w:type="page"/>
      </w:r>
    </w:p>
    <w:p>
      <w:pPr>
        <w:spacing w:after="160" w:before="0"/>
        <w:jc w:val="center"/>
      </w:pPr>
      <w:r>
        <w:rPr>
          <w:rFonts w:ascii="Noto Serif Display" w:hAnsi="Noto Serif Display" w:eastAsia="Noto Serif Display"/>
          <w:b/>
          <w:i w:val="0"/>
          <w:color w:val="061A36"/>
          <w:sz w:val="44"/>
        </w:rPr>
        <w:t>7. Language, Culture, Memory / Langue, culture, mémoire</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A sovereign AI future must protect and elevate French language, Québec culture, institutional memory, and local context inside intelligent systems.</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Un avenir souverain en IA doit protéger et élever la langue française, la culture québécoise, la mémoire institutionnelle et le contexte local au sein des systèmes intelligents.</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Language is not a decorative layer. It is a carrier of law, memory, identity, judgment, and economic participation.</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La langue n’est pas une couche décorative. Elle porte le droit, la mémoire, l’identité, le jugement et la participation économique.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QUEBEC.AI treats culture and language as strategic infrastructure: they must be represented, preserved, computed, governed, and transmitted.</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QUEBEC.AI traite la culture et la langue comme des infrastructures stratégiques : elles doivent être représentées, préservées, calculées, gouvernées et transmises.</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Sovereignty is the right to build systems that remember who we are.</w:t>
              <w:br/>
              <w:t>La souveraineté est le droit de bâtir des systèmes qui se souviennent de qui nous sommes.</w:t>
            </w:r>
          </w:p>
        </w:tc>
      </w:tr>
    </w:tbl>
    <w:p>
      <w:r>
        <w:br w:type="page"/>
      </w:r>
    </w:p>
    <w:p>
      <w:pPr>
        <w:spacing w:after="160" w:before="0"/>
        <w:jc w:val="center"/>
      </w:pPr>
      <w:r>
        <w:rPr>
          <w:rFonts w:ascii="Noto Serif Display" w:hAnsi="Noto Serif Display" w:eastAsia="Noto Serif Display"/>
          <w:b/>
          <w:i w:val="0"/>
          <w:color w:val="061A36"/>
          <w:sz w:val="44"/>
        </w:rPr>
        <w:t>8. Strategic Agenda / Agenda stratégique</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Compute and infrastructure: secure strategic access to compute, cloud, data platforms, and sovereign digital infrastructure.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Calcul et infrastructure : assurer l’accès stratégique au calcul, au nuage, aux plateformes de données et à une infrastructure numérique souveraine.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Frontier research and development: advance applied and frontier work in agents, automation, security, governance, and enterprise systems.</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Recherche et développement de frontière : faire progresser les travaux appliqués et de pointe en agents, automatisation, sécurité, gouvernance et systèmes d’entreprise.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Enterprise transformation: help successful organizations become AI-First, more productive, more resilient, and globally competitive.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Transformation des entreprises : aider les organisations prospères à devenir IA-First, plus productives, plus résilientes et compétitives à l’échelle mondiale.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Global reach from Québec: build from Québec and serve the world with export-grade excellence.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Rayonnement mondial depuis le Québec : bâtir depuis le Québec et servir le monde avec une excellence de niveau export.</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Build in Québec. Govern with discipline. Compete at world scale.</w:t>
              <w:br/>
              <w:t>Bâtir au Québec. Gouverner avec rigueur. Concurrencer à l’échelle mondiale.</w:t>
            </w:r>
          </w:p>
        </w:tc>
      </w:tr>
    </w:tbl>
    <w:p>
      <w:r>
        <w:br w:type="page"/>
      </w:r>
    </w:p>
    <w:p>
      <w:pPr>
        <w:spacing w:after="160" w:before="0"/>
        <w:jc w:val="center"/>
      </w:pPr>
      <w:r>
        <w:rPr>
          <w:rFonts w:ascii="Noto Serif Display" w:hAnsi="Noto Serif Display" w:eastAsia="Noto Serif Display"/>
          <w:b/>
          <w:i w:val="0"/>
          <w:color w:val="061A36"/>
          <w:sz w:val="44"/>
        </w:rPr>
        <w:t>9. Core Principles / Principes directeurs</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Sovereign capacity: critical AI capability should be built, understood, governed, and improved in Québec.</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Capacité souveraine : les capacités critiques en IA doivent être bâties, comprises, gouvernées et améliorées au Québec.</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Trust, safety, governance: AI systems must be secure, accountable, auditable, and worthy of institutional reliance.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Confiance, sécurité, gouvernance : les systèmes d’IA doivent être sécurisés, imputables, auditables et dignes de la confiance institutionnelle.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Public interest: AI should strengthen culture, language, prosperity, resilience, and democratic legitimacy.</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Intérêt public : l’IA doit renforcer la culture, la langue, la prospérité, la résilience et la légitimité démocratique.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Economic power: research and talent must become productive firms, exports, and durable value.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Puissance économique : la recherche et le talent doivent devenir entreprises productives, exportations et valeur durable.</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Principles are not ornaments. They are the operating constraints of trust.</w:t>
              <w:br/>
              <w:t>Les principes ne sont pas des ornements. Ils sont les contraintes opérationnelles de la confiance.</w:t>
            </w:r>
          </w:p>
        </w:tc>
      </w:tr>
    </w:tbl>
    <w:p>
      <w:r>
        <w:br w:type="page"/>
      </w:r>
    </w:p>
    <w:p>
      <w:pPr>
        <w:spacing w:after="160" w:before="0"/>
        <w:jc w:val="center"/>
      </w:pPr>
      <w:r>
        <w:rPr>
          <w:rFonts w:ascii="Noto Serif Display" w:hAnsi="Noto Serif Display" w:eastAsia="Noto Serif Display"/>
          <w:b/>
          <w:i w:val="0"/>
          <w:color w:val="061A36"/>
          <w:sz w:val="44"/>
        </w:rPr>
        <w:t>10. Flagship Use Case / Cas d’usage phare</w:t>
      </w:r>
    </w:p>
    <w:p>
      <w:pPr>
        <w:jc w:val="center"/>
      </w:pPr>
      <w:r>
        <w:drawing>
          <wp:inline xmlns:a="http://schemas.openxmlformats.org/drawingml/2006/main" xmlns:pic="http://schemas.openxmlformats.org/drawingml/2006/picture">
            <wp:extent cx="5943600" cy="9245600"/>
            <wp:docPr id="4" name="Picture 4"/>
            <wp:cNvGraphicFramePr>
              <a:graphicFrameLocks noChangeAspect="1"/>
            </wp:cNvGraphicFramePr>
            <a:graphic>
              <a:graphicData uri="http://schemas.openxmlformats.org/drawingml/2006/picture">
                <pic:pic>
                  <pic:nvPicPr>
                    <pic:cNvPr id="0" name="sovereign_ivory_art_crop.jpg"/>
                    <pic:cNvPicPr/>
                  </pic:nvPicPr>
                  <pic:blipFill>
                    <a:blip r:embed="rId10"/>
                    <a:stretch>
                      <a:fillRect/>
                    </a:stretch>
                  </pic:blipFill>
                  <pic:spPr>
                    <a:xfrm>
                      <a:off x="0" y="0"/>
                      <a:ext cx="5943600" cy="9245600"/>
                    </a:xfrm>
                    <a:prstGeom prst="rect"/>
                  </pic:spPr>
                </pic:pic>
              </a:graphicData>
            </a:graphic>
          </wp:inline>
        </w:drawing>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A successful enterprise begins with customers, workflows, data, expertise, brand, compliance, and operating momentum. QUEBEC.AI adds a sovereign agentic operating layer.</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Une entreprise prospère commence avec des clients, des flux de travail, des données, de l’expertise, une marque, la conformité et un élan opérationnel. QUEBEC.AI y ajoute une couche opératoire agentique souveraine.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Specialized agents produce research, plans, analysis, drafts, simulations, risk maps, and executive recommendations. Validators test the work against quality, usefulness, evidence, and governance requirements.</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Des agents spécialisés produisent recherches, plans, analyses, brouillons, simulations, cartes de risque et recommandations exécutives. Les validateurs testent le travail selon la qualité, l’utilité, la preuve et les exigences de gouvernance.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The result is not a single output. It is an intelligence capability that improves the next mission.</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 résultat n’est pas un simple livrable. C’est une capacité d’intelligence qui améliore la mission suivante.</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A successful enterprise becomes an AI-First intelligence organization.</w:t>
              <w:br/>
              <w:t>Une entreprise prospère devient une organisation d’intelligence IA-First.</w:t>
            </w:r>
          </w:p>
        </w:tc>
      </w:tr>
    </w:tbl>
    <w:p>
      <w:r>
        <w:br w:type="page"/>
      </w:r>
    </w:p>
    <w:p>
      <w:pPr>
        <w:spacing w:after="160" w:before="0"/>
        <w:jc w:val="center"/>
      </w:pPr>
      <w:r>
        <w:rPr>
          <w:rFonts w:ascii="Noto Serif Display" w:hAnsi="Noto Serif Display" w:eastAsia="Noto Serif Display"/>
          <w:b/>
          <w:i w:val="0"/>
          <w:color w:val="061A36"/>
          <w:sz w:val="44"/>
        </w:rPr>
        <w:t>11. Public Commitment / Engagement public</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QUEBEC.AI will advance this doctrine with ambition and discipline: visible work, public-facing evidence, bounded claims, executive clarity, and rigorous standards.</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QUEBEC.AI fera progresser cette doctrine avec ambition et discipline : travail visible, preuve publique, affirmations limitées, clarté exécutive et normes rigoureuses.</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The company’s role is to strengthen the capacity to build, govern, deploy, secure, and coordinate artificial intelligence as strategic infrastructure.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 rôle de l’entreprise est de renforcer la capacité de bâtir, gouverner, déployer, sécuriser et coordonner l’intelligence artificielle comme infrastructure stratégique.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This is a call to founders, executives, institutions, researchers, builders, and citizens who want Québec to shape the AI age rather than merely adapt to it.</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C’est un appel aux fondateurs, dirigeants, institutions, chercheurs, bâtisseurs et citoyens qui veulent que le Québec façonne l’ère de l’IA plutôt que de simplement s’y adapter.</w:t>
            </w:r>
          </w:p>
        </w:tc>
      </w:tr>
    </w:tbl>
    <w:p>
      <w:pPr>
        <w:spacing w:after="80"/>
      </w:pPr>
    </w:p>
    <w:tbl>
      <w:tblPr>
        <w:tblW w:type="auto" w:w="0"/>
        <w:jc w:val="center"/>
        <w:tblLook w:firstColumn="1" w:firstRow="1" w:lastColumn="0" w:lastRow="0" w:noHBand="0" w:noVBand="1" w:val="04A0"/>
      </w:tblPr>
      <w:tblGrid>
        <w:gridCol w:w="10454"/>
      </w:tblGrid>
      <w:tr>
        <w:tc>
          <w:tcPr>
            <w:tcW w:type="dxa" w:w="10454"/>
            <w:shd w:fill="FEF9EE"/>
            <w:tcBorders>
              <w:top w:val="single" w:sz="6" w:space="0" w:color="B9872F"/>
              <w:left w:val="single" w:sz="6" w:space="0" w:color="B9872F"/>
              <w:bottom w:val="single" w:sz="6" w:space="0" w:color="B9872F"/>
              <w:right w:val="single" w:sz="6" w:space="0" w:color="B9872F"/>
            </w:tcBorders>
          </w:tcPr>
          <w:p>
            <w:pPr>
              <w:jc w:val="center"/>
            </w:pPr>
            <w:r>
              <w:rPr>
                <w:rFonts w:ascii="EB Garamond" w:hAnsi="EB Garamond" w:eastAsia="EB Garamond"/>
                <w:b w:val="0"/>
                <w:i/>
                <w:color w:val="061A36"/>
                <w:sz w:val="28"/>
              </w:rPr>
              <w:t>The future is not inherited. It is built.</w:t>
              <w:br/>
              <w:t>L’avenir ne s’hérite pas. Il se construit.</w:t>
            </w:r>
          </w:p>
        </w:tc>
      </w:tr>
    </w:tbl>
    <w:p>
      <w:pPr>
        <w:spacing w:after="160" w:before="0"/>
        <w:jc w:val="center"/>
      </w:pPr>
      <w:r>
        <w:rPr>
          <w:rFonts w:ascii="Noto Serif Display" w:hAnsi="Noto Serif Display" w:eastAsia="Noto Serif Display"/>
          <w:b/>
          <w:i w:val="0"/>
          <w:color w:val="061A36"/>
          <w:sz w:val="44"/>
        </w:rPr>
        <w:t>Institutional Identity / Identité institutionnelle</w:t>
      </w:r>
    </w:p>
    <w:tbl>
      <w:tblPr>
        <w:tblW w:type="auto" w:w="0"/>
        <w:jc w:val="center"/>
        <w:tblLook w:firstColumn="1" w:firstRow="1" w:lastColumn="0" w:lastRow="0" w:noHBand="0" w:noVBand="1" w:val="04A0"/>
      </w:tblPr>
      <w:tblGrid>
        <w:gridCol w:w="5227"/>
        <w:gridCol w:w="5227"/>
      </w:tblGrid>
      <w:tr>
        <w:tc>
          <w:tcPr>
            <w:tcW w:type="dxa" w:w="5227"/>
            <w:tcBorders>
              <w:top w:val="single" w:sz="2" w:space="0" w:color="E1C98E"/>
              <w:left w:val="single" w:sz="2" w:space="0" w:color="E1C98E"/>
              <w:bottom w:val="single" w:sz="2" w:space="0" w:color="E1C98E"/>
              <w:right w:val="single" w:sz="2" w:space="0" w:color="E1C98E"/>
            </w:tcBorders>
          </w:tcPr>
          <w:p>
            <w:r>
              <w:rPr>
                <w:rFonts w:ascii="Lato" w:hAnsi="Lato" w:eastAsia="Lato"/>
                <w:b/>
                <w:i w:val="0"/>
                <w:color w:val="B9872F"/>
                <w:sz w:val="17"/>
              </w:rPr>
              <w:t>Name / Nom</w:t>
            </w:r>
          </w:p>
        </w:tc>
        <w:tc>
          <w:tcPr>
            <w:tcW w:type="dxa" w:w="5227"/>
            <w:tcBorders>
              <w:top w:val="single" w:sz="2" w:space="0" w:color="E1C98E"/>
              <w:left w:val="single" w:sz="2" w:space="0" w:color="E1C98E"/>
              <w:bottom w:val="single" w:sz="2" w:space="0" w:color="E1C98E"/>
              <w:right w:val="single" w:sz="2" w:space="0" w:color="E1C98E"/>
            </w:tcBorders>
          </w:tcPr>
          <w:p>
            <w:r>
              <w:rPr>
                <w:rFonts w:ascii="EB Garamond" w:hAnsi="EB Garamond" w:eastAsia="EB Garamond"/>
                <w:b w:val="0"/>
                <w:i w:val="0"/>
                <w:color w:val="0A1E38"/>
                <w:sz w:val="20"/>
              </w:rPr>
              <w:t>QUEBEC.AI | Québec Artificial Intelligence</w:t>
            </w:r>
          </w:p>
        </w:tc>
      </w:tr>
      <w:tr>
        <w:tc>
          <w:tcPr>
            <w:tcW w:type="dxa" w:w="5227"/>
            <w:tcBorders>
              <w:top w:val="single" w:sz="2" w:space="0" w:color="E1C98E"/>
              <w:left w:val="single" w:sz="2" w:space="0" w:color="E1C98E"/>
              <w:bottom w:val="single" w:sz="2" w:space="0" w:color="E1C98E"/>
              <w:right w:val="single" w:sz="2" w:space="0" w:color="E1C98E"/>
            </w:tcBorders>
          </w:tcPr>
          <w:p>
            <w:r>
              <w:rPr>
                <w:rFonts w:ascii="Lato" w:hAnsi="Lato" w:eastAsia="Lato"/>
                <w:b/>
                <w:i w:val="0"/>
                <w:color w:val="B9872F"/>
                <w:sz w:val="17"/>
              </w:rPr>
              <w:t>Founded / Fondée</w:t>
            </w:r>
          </w:p>
        </w:tc>
        <w:tc>
          <w:tcPr>
            <w:tcW w:type="dxa" w:w="5227"/>
            <w:tcBorders>
              <w:top w:val="single" w:sz="2" w:space="0" w:color="E1C98E"/>
              <w:left w:val="single" w:sz="2" w:space="0" w:color="E1C98E"/>
              <w:bottom w:val="single" w:sz="2" w:space="0" w:color="E1C98E"/>
              <w:right w:val="single" w:sz="2" w:space="0" w:color="E1C98E"/>
            </w:tcBorders>
          </w:tcPr>
          <w:p>
            <w:r>
              <w:rPr>
                <w:rFonts w:ascii="EB Garamond" w:hAnsi="EB Garamond" w:eastAsia="EB Garamond"/>
                <w:b w:val="0"/>
                <w:i w:val="0"/>
                <w:color w:val="0A1E38"/>
                <w:sz w:val="20"/>
              </w:rPr>
              <w:t>2003</w:t>
            </w:r>
          </w:p>
        </w:tc>
      </w:tr>
      <w:tr>
        <w:tc>
          <w:tcPr>
            <w:tcW w:type="dxa" w:w="5227"/>
            <w:tcBorders>
              <w:top w:val="single" w:sz="2" w:space="0" w:color="E1C98E"/>
              <w:left w:val="single" w:sz="2" w:space="0" w:color="E1C98E"/>
              <w:bottom w:val="single" w:sz="2" w:space="0" w:color="E1C98E"/>
              <w:right w:val="single" w:sz="2" w:space="0" w:color="E1C98E"/>
            </w:tcBorders>
          </w:tcPr>
          <w:p>
            <w:r>
              <w:rPr>
                <w:rFonts w:ascii="Lato" w:hAnsi="Lato" w:eastAsia="Lato"/>
                <w:b/>
                <w:i w:val="0"/>
                <w:color w:val="B9872F"/>
                <w:sz w:val="17"/>
              </w:rPr>
              <w:t>Status / Statut</w:t>
            </w:r>
          </w:p>
        </w:tc>
        <w:tc>
          <w:tcPr>
            <w:tcW w:type="dxa" w:w="5227"/>
            <w:tcBorders>
              <w:top w:val="single" w:sz="2" w:space="0" w:color="E1C98E"/>
              <w:left w:val="single" w:sz="2" w:space="0" w:color="E1C98E"/>
              <w:bottom w:val="single" w:sz="2" w:space="0" w:color="E1C98E"/>
              <w:right w:val="single" w:sz="2" w:space="0" w:color="E1C98E"/>
            </w:tcBorders>
          </w:tcPr>
          <w:p>
            <w:r>
              <w:rPr>
                <w:rFonts w:ascii="EB Garamond" w:hAnsi="EB Garamond" w:eastAsia="EB Garamond"/>
                <w:b w:val="0"/>
                <w:i w:val="0"/>
                <w:color w:val="0A1E38"/>
                <w:sz w:val="20"/>
              </w:rPr>
              <w:t>Private corporation incorporated in Québec / Société privée incorporée au Québec</w:t>
            </w:r>
          </w:p>
        </w:tc>
      </w:tr>
      <w:tr>
        <w:tc>
          <w:tcPr>
            <w:tcW w:type="dxa" w:w="5227"/>
            <w:tcBorders>
              <w:top w:val="single" w:sz="2" w:space="0" w:color="E1C98E"/>
              <w:left w:val="single" w:sz="2" w:space="0" w:color="E1C98E"/>
              <w:bottom w:val="single" w:sz="2" w:space="0" w:color="E1C98E"/>
              <w:right w:val="single" w:sz="2" w:space="0" w:color="E1C98E"/>
            </w:tcBorders>
          </w:tcPr>
          <w:p>
            <w:r>
              <w:rPr>
                <w:rFonts w:ascii="Lato" w:hAnsi="Lato" w:eastAsia="Lato"/>
                <w:b/>
                <w:i w:val="0"/>
                <w:color w:val="B9872F"/>
                <w:sz w:val="17"/>
              </w:rPr>
              <w:t>Role / Rôle</w:t>
            </w:r>
          </w:p>
        </w:tc>
        <w:tc>
          <w:tcPr>
            <w:tcW w:type="dxa" w:w="5227"/>
            <w:tcBorders>
              <w:top w:val="single" w:sz="2" w:space="0" w:color="E1C98E"/>
              <w:left w:val="single" w:sz="2" w:space="0" w:color="E1C98E"/>
              <w:bottom w:val="single" w:sz="2" w:space="0" w:color="E1C98E"/>
              <w:right w:val="single" w:sz="2" w:space="0" w:color="E1C98E"/>
            </w:tcBorders>
          </w:tcPr>
          <w:p>
            <w:r>
              <w:rPr>
                <w:rFonts w:ascii="EB Garamond" w:hAnsi="EB Garamond" w:eastAsia="EB Garamond"/>
                <w:b w:val="0"/>
                <w:i w:val="0"/>
                <w:color w:val="0A1E38"/>
                <w:sz w:val="20"/>
              </w:rPr>
              <w:t>Québec’s sovereign AI flagship enterprise / L’entreprise phare de l’IA souveraine du Québec</w:t>
            </w:r>
          </w:p>
        </w:tc>
      </w:tr>
      <w:tr>
        <w:tc>
          <w:tcPr>
            <w:tcW w:type="dxa" w:w="5227"/>
            <w:tcBorders>
              <w:top w:val="single" w:sz="2" w:space="0" w:color="E1C98E"/>
              <w:left w:val="single" w:sz="2" w:space="0" w:color="E1C98E"/>
              <w:bottom w:val="single" w:sz="2" w:space="0" w:color="E1C98E"/>
              <w:right w:val="single" w:sz="2" w:space="0" w:color="E1C98E"/>
            </w:tcBorders>
          </w:tcPr>
          <w:p>
            <w:r>
              <w:rPr>
                <w:rFonts w:ascii="Lato" w:hAnsi="Lato" w:eastAsia="Lato"/>
                <w:b/>
                <w:i w:val="0"/>
                <w:color w:val="B9872F"/>
                <w:sz w:val="17"/>
              </w:rPr>
              <w:t>Focus / Axes</w:t>
            </w:r>
          </w:p>
        </w:tc>
        <w:tc>
          <w:tcPr>
            <w:tcW w:type="dxa" w:w="5227"/>
            <w:tcBorders>
              <w:top w:val="single" w:sz="2" w:space="0" w:color="E1C98E"/>
              <w:left w:val="single" w:sz="2" w:space="0" w:color="E1C98E"/>
              <w:bottom w:val="single" w:sz="2" w:space="0" w:color="E1C98E"/>
              <w:right w:val="single" w:sz="2" w:space="0" w:color="E1C98E"/>
            </w:tcBorders>
          </w:tcPr>
          <w:p>
            <w:r>
              <w:rPr>
                <w:rFonts w:ascii="EB Garamond" w:hAnsi="EB Garamond" w:eastAsia="EB Garamond"/>
                <w:b w:val="0"/>
                <w:i w:val="0"/>
                <w:color w:val="0A1E38"/>
                <w:sz w:val="20"/>
              </w:rPr>
              <w:t>Frontier AI, AI-First enterprise transformation, sovereign AI infrastructure, autonomous agents, security, governance, institutional strategy</w:t>
            </w:r>
          </w:p>
        </w:tc>
      </w:tr>
    </w:tbl>
    <w:p>
      <w:pPr>
        <w:spacing w:after="80" w:before="200"/>
      </w:pPr>
      <w:r>
        <w:rPr>
          <w:rFonts w:ascii="Noto Serif Display" w:hAnsi="Noto Serif Display" w:eastAsia="Noto Serif Display"/>
          <w:b/>
          <w:i w:val="0"/>
          <w:color w:val="061A36"/>
          <w:sz w:val="36"/>
        </w:rPr>
        <w:t>Final Declaration / Déclaration finale</w:t>
      </w:r>
    </w:p>
    <w:tbl>
      <w:tblPr>
        <w:tblW w:type="auto" w:w="0"/>
        <w:jc w:val="center"/>
        <w:tblLayout w:type="fixed"/>
        <w:tblLook w:firstColumn="1" w:firstRow="1" w:lastColumn="0" w:lastRow="0" w:noHBand="0" w:noVBand="1" w:val="04A0"/>
      </w:tblPr>
      <w:tblGrid>
        <w:gridCol w:w="5227"/>
        <w:gridCol w:w="5227"/>
      </w:tblGrid>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Québec should not be a passive consumer in the AI age. Québec should be a builder of capability, a steward of language and culture, and a sovereign participant in the future of intelligence.</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Le Québec ne doit pas être un consommateur passif à l’ère de l’IA. Il doit être un bâtisseur de capacité, un gardien de la langue et de la culture, et un participant souverain à l’avenir de l’intelligence.</w:t>
            </w:r>
          </w:p>
        </w:tc>
      </w:tr>
      <w:tr>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val="0"/>
                <w:color w:val="0A1E38"/>
                <w:sz w:val="21"/>
              </w:rPr>
              <w:t>QUEBEC.AI exists to help make that future operational: governed, verified, reusable, secure, and compounding.</w:t>
            </w:r>
          </w:p>
        </w:tc>
        <w:tc>
          <w:tcPr>
            <w:tcW w:type="dxa" w:w="4752"/>
            <w:vAlign w:val="top"/>
            <w:tcBorders>
              <w:top w:val="single" w:sz="2" w:space="0" w:color="E1C98E"/>
              <w:left w:val="single" w:sz="2" w:space="0" w:color="E1C98E"/>
              <w:bottom w:val="single" w:sz="2" w:space="0" w:color="E1C98E"/>
              <w:right w:val="single" w:sz="2" w:space="0" w:color="E1C98E"/>
            </w:tcBorders>
          </w:tcPr>
          <w:p>
            <w:pPr>
              <w:spacing w:after="80"/>
            </w:pPr>
            <w:r>
              <w:rPr>
                <w:rFonts w:ascii="EB Garamond" w:hAnsi="EB Garamond" w:eastAsia="EB Garamond"/>
                <w:b w:val="0"/>
                <w:i/>
                <w:color w:val="0A1E38"/>
                <w:sz w:val="21"/>
              </w:rPr>
              <w:t>QUEBEC.AI existe pour contribuer à rendre cet avenir opérationnel : gouverné, vérifié, réutilisable, sécurisé et cumulatif.</w:t>
            </w:r>
          </w:p>
        </w:tc>
      </w:tr>
    </w:tbl>
    <w:p>
      <w:pPr>
        <w:spacing w:after="80"/>
      </w:pPr>
    </w:p>
    <w:p>
      <w:pPr>
        <w:spacing w:after="160" w:before="200"/>
        <w:jc w:val="center"/>
      </w:pPr>
      <w:r>
        <w:rPr>
          <w:rFonts w:ascii="Noto Serif Display" w:hAnsi="Noto Serif Display" w:eastAsia="Noto Serif Display"/>
          <w:b/>
          <w:i w:val="0"/>
          <w:color w:val="B9872F"/>
          <w:sz w:val="36"/>
        </w:rPr>
        <w:t>Frontier. AI-First. Sovereign. / Frontière. IA-First. Souverain.</w:t>
      </w:r>
    </w:p>
    <w:sectPr w:rsidR="00FC693F" w:rsidRPr="0006063C" w:rsidSect="00034616">
      <w:headerReference w:type="default" r:id="rId11"/>
      <w:footerReference w:type="default" r:id="rId12"/>
      <w:pgSz w:w="12240" w:h="15840"/>
      <w:pgMar w:top="792" w:right="893" w:bottom="792" w:left="8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Lato" w:hAnsi="Lato" w:eastAsia="Lato"/>
        <w:b w:val="0"/>
        <w:i w:val="0"/>
        <w:color w:val="484843"/>
        <w:sz w:val="15"/>
      </w:rPr>
      <w:t>Frontier. AI-First. Sovereign. / Frontière. IA-First. Souverain.</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rPr>
        <w:rFonts w:ascii="Lato" w:hAnsi="Lato" w:eastAsia="Lato"/>
        <w:b/>
        <w:i w:val="0"/>
        <w:color w:val="061A36"/>
        <w:sz w:val="16"/>
      </w:rPr>
      <w:t>QUEBEC.AI — Sovereign Manifesto / Manifeste souverain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header" Target="header1.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